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F4A0" w14:textId="5F17F07F" w:rsidR="00A3794C" w:rsidRDefault="00C17A2A" w:rsidP="0051424D">
      <w:pPr>
        <w:jc w:val="center"/>
        <w:rPr>
          <w:rFonts w:cstheme="minorHAnsi"/>
          <w:b/>
          <w:sz w:val="24"/>
          <w:szCs w:val="24"/>
          <w:lang w:val="en-US"/>
        </w:rPr>
      </w:pPr>
      <w:r>
        <w:rPr>
          <w:rFonts w:cstheme="minorHAnsi"/>
          <w:b/>
          <w:sz w:val="24"/>
          <w:szCs w:val="24"/>
          <w:lang w:val="en-US"/>
        </w:rPr>
        <w:t>CASE STUDY</w:t>
      </w:r>
    </w:p>
    <w:p w14:paraId="175F130A" w14:textId="77777777" w:rsidR="00C17A2A" w:rsidRPr="0051424D" w:rsidRDefault="00C17A2A" w:rsidP="0051424D">
      <w:pPr>
        <w:jc w:val="center"/>
        <w:rPr>
          <w:rFonts w:cstheme="minorHAnsi"/>
          <w:b/>
          <w:sz w:val="24"/>
          <w:szCs w:val="24"/>
          <w:lang w:val="en-US"/>
        </w:rPr>
      </w:pPr>
    </w:p>
    <w:p w14:paraId="530A8E84" w14:textId="77777777" w:rsidR="00A3794C" w:rsidRPr="00A3794C" w:rsidRDefault="00A3794C" w:rsidP="00A3794C">
      <w:pPr>
        <w:jc w:val="both"/>
        <w:rPr>
          <w:rFonts w:cstheme="minorHAnsi"/>
          <w:sz w:val="24"/>
          <w:szCs w:val="24"/>
          <w:lang w:val="en-US"/>
        </w:rPr>
      </w:pPr>
      <w:r w:rsidRPr="00A3794C">
        <w:rPr>
          <w:rFonts w:cstheme="minorHAnsi"/>
          <w:sz w:val="24"/>
          <w:szCs w:val="24"/>
          <w:lang w:val="en-US"/>
        </w:rPr>
        <w:t xml:space="preserve">It is the end of </w:t>
      </w:r>
      <w:proofErr w:type="gramStart"/>
      <w:r w:rsidRPr="00A3794C">
        <w:rPr>
          <w:rFonts w:cstheme="minorHAnsi"/>
          <w:sz w:val="24"/>
          <w:szCs w:val="24"/>
          <w:lang w:val="en-US"/>
        </w:rPr>
        <w:t>2018</w:t>
      </w:r>
      <w:proofErr w:type="gramEnd"/>
      <w:r w:rsidRPr="00A3794C">
        <w:rPr>
          <w:rFonts w:cstheme="minorHAnsi"/>
          <w:sz w:val="24"/>
          <w:szCs w:val="24"/>
          <w:lang w:val="en-US"/>
        </w:rPr>
        <w:t xml:space="preserve"> and you are feeling very good about your success as an entrepreneur. You have developed a chain of 20 salad and tea restaurants, Kale and Kombucha, near college campuses like Stanford, UCLA, Duke, and Cornell. Your business concept is to serve healthy salads and broth bowls, along with a range of tea-based beverages, to the health-conscious students who descend on these schools in droves each fall. You have been highly profitable and you are expanding the chain. </w:t>
      </w:r>
    </w:p>
    <w:p w14:paraId="570A4979" w14:textId="77777777" w:rsidR="00A3794C" w:rsidRPr="00A3794C" w:rsidRDefault="00A3794C" w:rsidP="00A3794C">
      <w:pPr>
        <w:jc w:val="both"/>
        <w:rPr>
          <w:rFonts w:cstheme="minorHAnsi"/>
          <w:sz w:val="24"/>
          <w:szCs w:val="24"/>
          <w:lang w:val="en-US"/>
        </w:rPr>
      </w:pPr>
      <w:r w:rsidRPr="00A3794C">
        <w:rPr>
          <w:rFonts w:cstheme="minorHAnsi"/>
          <w:sz w:val="24"/>
          <w:szCs w:val="24"/>
          <w:lang w:val="en-US"/>
        </w:rPr>
        <w:t>You plan to add another 5 stores each year for the next 4 years so that there will be 40 stores in all. You lease the space for each store for $30,000 per year and you spend $200,000 to build each store to your specifications. Construction for 2019 is based on a solid schedule and you will have 25 stores fully built by the end of the fiscal year.</w:t>
      </w:r>
    </w:p>
    <w:p w14:paraId="40B199E6" w14:textId="77777777" w:rsidR="00A3794C" w:rsidRPr="00A3794C" w:rsidRDefault="00A3794C" w:rsidP="00A3794C">
      <w:pPr>
        <w:jc w:val="both"/>
        <w:rPr>
          <w:rFonts w:cstheme="minorHAnsi"/>
          <w:sz w:val="24"/>
          <w:szCs w:val="24"/>
          <w:lang w:val="en-US"/>
        </w:rPr>
      </w:pPr>
      <w:r w:rsidRPr="00A3794C">
        <w:rPr>
          <w:rFonts w:cstheme="minorHAnsi"/>
          <w:sz w:val="24"/>
          <w:szCs w:val="24"/>
          <w:lang w:val="en-US"/>
        </w:rPr>
        <w:t>When a store opens, the $200,000 expenditure is depreciated at 10% per year. In addition, each store has inventories of $50,000. You estimate that every store you open adds $3,000 per year to your SG&amp;A expense.</w:t>
      </w:r>
      <w:r>
        <w:rPr>
          <w:rFonts w:cstheme="minorHAnsi"/>
          <w:sz w:val="24"/>
          <w:szCs w:val="24"/>
          <w:lang w:val="en-US"/>
        </w:rPr>
        <w:t xml:space="preserve"> </w:t>
      </w:r>
      <w:r w:rsidRPr="00A3794C">
        <w:rPr>
          <w:rFonts w:cstheme="minorHAnsi"/>
          <w:sz w:val="24"/>
          <w:szCs w:val="24"/>
          <w:lang w:val="en-US"/>
        </w:rPr>
        <w:t>It takes 12 months to build out each store during which you incur lease expenses (and the additional SG&amp;A expenses) but earn no revenue at that site. You expect that, once a store opens its doors, revenues flow at an annual rate of $100,000 per store, with a cost of goods sold of 20%. Accounts receivable and accounts payable are immaterial. The income tax rate is 21%. The most recent income statement is included at the end of the case.</w:t>
      </w:r>
    </w:p>
    <w:p w14:paraId="7869D874" w14:textId="77777777" w:rsidR="00A3794C" w:rsidRPr="00D2716A" w:rsidRDefault="00A3794C" w:rsidP="00A3794C">
      <w:pPr>
        <w:jc w:val="both"/>
        <w:rPr>
          <w:rFonts w:cstheme="minorHAnsi"/>
          <w:b/>
          <w:sz w:val="24"/>
          <w:szCs w:val="24"/>
          <w:lang w:val="en-US"/>
        </w:rPr>
      </w:pPr>
      <w:r w:rsidRPr="00D2716A">
        <w:rPr>
          <w:rFonts w:cstheme="minorHAnsi"/>
          <w:b/>
          <w:sz w:val="24"/>
          <w:szCs w:val="24"/>
          <w:lang w:val="en-US"/>
        </w:rPr>
        <w:t>Questions</w:t>
      </w:r>
    </w:p>
    <w:p w14:paraId="0FA1DA6C" w14:textId="77777777" w:rsidR="00A3794C" w:rsidRPr="00A3794C" w:rsidRDefault="00A3794C" w:rsidP="00A3794C">
      <w:pPr>
        <w:pStyle w:val="ListParagraph"/>
        <w:numPr>
          <w:ilvl w:val="0"/>
          <w:numId w:val="1"/>
        </w:numPr>
        <w:jc w:val="both"/>
        <w:rPr>
          <w:rFonts w:cstheme="minorHAnsi"/>
          <w:sz w:val="24"/>
          <w:szCs w:val="24"/>
          <w:lang w:val="en-US"/>
        </w:rPr>
      </w:pPr>
      <w:r w:rsidRPr="00A3794C">
        <w:rPr>
          <w:rFonts w:cstheme="minorHAnsi"/>
          <w:sz w:val="24"/>
          <w:szCs w:val="24"/>
          <w:lang w:val="en-US"/>
        </w:rPr>
        <w:t>Please use the Excel file “Kale and Kombucha” to project revenues and costs for 2019-2023. You will complete this work in the “Pro Forma” tab of the Excel spreadsheet. “EBIT” stands for “earnings before interest and taxes.”</w:t>
      </w:r>
    </w:p>
    <w:p w14:paraId="4F451383" w14:textId="77777777" w:rsidR="00A3794C" w:rsidRPr="00A3794C" w:rsidRDefault="00A3794C" w:rsidP="00B8688F">
      <w:pPr>
        <w:pStyle w:val="ListParagraph"/>
        <w:numPr>
          <w:ilvl w:val="0"/>
          <w:numId w:val="1"/>
        </w:numPr>
        <w:jc w:val="both"/>
        <w:rPr>
          <w:rFonts w:cstheme="minorHAnsi"/>
          <w:sz w:val="24"/>
          <w:szCs w:val="24"/>
          <w:lang w:val="en-US"/>
        </w:rPr>
      </w:pPr>
      <w:r w:rsidRPr="00A3794C">
        <w:rPr>
          <w:rFonts w:cstheme="minorHAnsi"/>
          <w:sz w:val="24"/>
          <w:szCs w:val="24"/>
          <w:lang w:val="en-US"/>
        </w:rPr>
        <w:t>How much are the capital expenditures (CAPEX) in each year?</w:t>
      </w:r>
    </w:p>
    <w:p w14:paraId="280A5DDC" w14:textId="77777777" w:rsidR="00A3794C" w:rsidRPr="00A3794C" w:rsidRDefault="00A3794C" w:rsidP="00A24945">
      <w:pPr>
        <w:pStyle w:val="ListParagraph"/>
        <w:numPr>
          <w:ilvl w:val="0"/>
          <w:numId w:val="1"/>
        </w:numPr>
        <w:jc w:val="both"/>
        <w:rPr>
          <w:rFonts w:cstheme="minorHAnsi"/>
          <w:sz w:val="24"/>
          <w:szCs w:val="24"/>
          <w:lang w:val="en-US"/>
        </w:rPr>
      </w:pPr>
      <w:r w:rsidRPr="00A3794C">
        <w:rPr>
          <w:rFonts w:cstheme="minorHAnsi"/>
          <w:sz w:val="24"/>
          <w:szCs w:val="24"/>
          <w:lang w:val="en-US"/>
        </w:rPr>
        <w:t>How much inventory do you need at the end of each year?</w:t>
      </w:r>
    </w:p>
    <w:p w14:paraId="30BF8F86" w14:textId="77777777" w:rsidR="00BA7F0B" w:rsidRPr="00A3794C" w:rsidRDefault="00A3794C" w:rsidP="00A24945">
      <w:pPr>
        <w:pStyle w:val="ListParagraph"/>
        <w:numPr>
          <w:ilvl w:val="0"/>
          <w:numId w:val="1"/>
        </w:numPr>
        <w:jc w:val="both"/>
        <w:rPr>
          <w:rFonts w:cstheme="minorHAnsi"/>
          <w:sz w:val="24"/>
          <w:szCs w:val="24"/>
          <w:lang w:val="en-US"/>
        </w:rPr>
      </w:pPr>
      <w:r w:rsidRPr="00A3794C">
        <w:rPr>
          <w:rFonts w:cstheme="minorHAnsi"/>
          <w:sz w:val="24"/>
          <w:szCs w:val="24"/>
          <w:lang w:val="en-US"/>
        </w:rPr>
        <w:t>Please ignore the “FCF” Calculation” tab you will find in the Excel file (you do not need to complete ANY calculations for that tab). We will discuss that in class when we cover the Kale and Kombucha case.</w:t>
      </w:r>
    </w:p>
    <w:p w14:paraId="3FF1CFE9" w14:textId="77777777" w:rsidR="00A3794C" w:rsidRPr="00A3794C" w:rsidRDefault="00A3794C" w:rsidP="00A3794C">
      <w:pPr>
        <w:jc w:val="both"/>
        <w:rPr>
          <w:rFonts w:cstheme="minorHAnsi"/>
          <w:sz w:val="24"/>
          <w:szCs w:val="24"/>
          <w:lang w:val="en-US"/>
        </w:rPr>
      </w:pPr>
      <w:r w:rsidRPr="00A3794C">
        <w:rPr>
          <w:rFonts w:cstheme="minorHAnsi"/>
          <w:sz w:val="24"/>
          <w:szCs w:val="24"/>
          <w:lang w:val="en-US"/>
        </w:rPr>
        <w:t>You should assume that the number of stores fully operational, the ones completed but not operating, and the annual revenues for each year, at the end of each year, are as follows:</w:t>
      </w:r>
    </w:p>
    <w:tbl>
      <w:tblPr>
        <w:tblStyle w:val="TableGrid"/>
        <w:tblW w:w="0" w:type="auto"/>
        <w:tblLook w:val="04A0" w:firstRow="1" w:lastRow="0" w:firstColumn="1" w:lastColumn="0" w:noHBand="0" w:noVBand="1"/>
      </w:tblPr>
      <w:tblGrid>
        <w:gridCol w:w="2265"/>
        <w:gridCol w:w="2265"/>
        <w:gridCol w:w="2266"/>
        <w:gridCol w:w="2266"/>
      </w:tblGrid>
      <w:tr w:rsidR="00A3794C" w:rsidRPr="00A3794C" w14:paraId="3ED59AFF" w14:textId="77777777" w:rsidTr="00F8504B">
        <w:tc>
          <w:tcPr>
            <w:tcW w:w="9062" w:type="dxa"/>
            <w:gridSpan w:val="4"/>
          </w:tcPr>
          <w:p w14:paraId="3AC1FB61" w14:textId="77777777" w:rsidR="00A3794C" w:rsidRPr="00A03688" w:rsidRDefault="00A3794C" w:rsidP="00A3794C">
            <w:pPr>
              <w:jc w:val="both"/>
              <w:rPr>
                <w:b/>
                <w:lang w:val="en-US"/>
              </w:rPr>
            </w:pPr>
            <w:r w:rsidRPr="00A03688">
              <w:rPr>
                <w:b/>
                <w:lang w:val="en-US"/>
              </w:rPr>
              <w:t>Operational assumptions</w:t>
            </w:r>
          </w:p>
        </w:tc>
      </w:tr>
      <w:tr w:rsidR="00A3794C" w:rsidRPr="00A3794C" w14:paraId="4EAE4878" w14:textId="77777777" w:rsidTr="00A3794C">
        <w:tc>
          <w:tcPr>
            <w:tcW w:w="2265" w:type="dxa"/>
          </w:tcPr>
          <w:p w14:paraId="23A7EB8D" w14:textId="77777777" w:rsidR="00A3794C" w:rsidRPr="00A03688" w:rsidRDefault="00A3794C" w:rsidP="00A03688">
            <w:pPr>
              <w:jc w:val="center"/>
              <w:rPr>
                <w:b/>
                <w:lang w:val="en-US"/>
              </w:rPr>
            </w:pPr>
            <w:r w:rsidRPr="00A03688">
              <w:rPr>
                <w:b/>
                <w:lang w:val="en-US"/>
              </w:rPr>
              <w:t>Year</w:t>
            </w:r>
          </w:p>
        </w:tc>
        <w:tc>
          <w:tcPr>
            <w:tcW w:w="2265" w:type="dxa"/>
          </w:tcPr>
          <w:p w14:paraId="7C043B90" w14:textId="77777777" w:rsidR="00A3794C" w:rsidRPr="00A03688" w:rsidRDefault="00A3794C" w:rsidP="00A03688">
            <w:pPr>
              <w:jc w:val="center"/>
              <w:rPr>
                <w:b/>
                <w:lang w:val="en-US"/>
              </w:rPr>
            </w:pPr>
            <w:r w:rsidRPr="00A03688">
              <w:rPr>
                <w:b/>
                <w:lang w:val="en-US"/>
              </w:rPr>
              <w:t>Total Stores Operating</w:t>
            </w:r>
          </w:p>
        </w:tc>
        <w:tc>
          <w:tcPr>
            <w:tcW w:w="2266" w:type="dxa"/>
          </w:tcPr>
          <w:p w14:paraId="496DFE1F" w14:textId="77777777" w:rsidR="00A3794C" w:rsidRPr="00A03688" w:rsidRDefault="00A3794C" w:rsidP="00A03688">
            <w:pPr>
              <w:jc w:val="center"/>
              <w:rPr>
                <w:b/>
                <w:lang w:val="en-US"/>
              </w:rPr>
            </w:pPr>
            <w:r w:rsidRPr="00A03688">
              <w:rPr>
                <w:b/>
                <w:lang w:val="en-US"/>
              </w:rPr>
              <w:t>New Stores Not Yet Operating</w:t>
            </w:r>
          </w:p>
        </w:tc>
        <w:tc>
          <w:tcPr>
            <w:tcW w:w="2266" w:type="dxa"/>
          </w:tcPr>
          <w:p w14:paraId="1BBABA04" w14:textId="77777777" w:rsidR="00A03688" w:rsidRDefault="00A3794C" w:rsidP="00A03688">
            <w:pPr>
              <w:jc w:val="center"/>
              <w:rPr>
                <w:b/>
                <w:lang w:val="en-US"/>
              </w:rPr>
            </w:pPr>
            <w:r w:rsidRPr="00A03688">
              <w:rPr>
                <w:b/>
                <w:lang w:val="en-US"/>
              </w:rPr>
              <w:t xml:space="preserve">Revenue </w:t>
            </w:r>
          </w:p>
          <w:p w14:paraId="657EDB41" w14:textId="77777777" w:rsidR="00A3794C" w:rsidRPr="00A03688" w:rsidRDefault="00A3794C" w:rsidP="00A03688">
            <w:pPr>
              <w:jc w:val="center"/>
              <w:rPr>
                <w:b/>
                <w:lang w:val="en-US"/>
              </w:rPr>
            </w:pPr>
            <w:r w:rsidRPr="00A03688">
              <w:rPr>
                <w:b/>
                <w:lang w:val="en-US"/>
              </w:rPr>
              <w:t xml:space="preserve">(in thousand </w:t>
            </w:r>
            <w:r w:rsidR="00D2716A" w:rsidRPr="00A3794C">
              <w:rPr>
                <w:rFonts w:cstheme="minorHAnsi"/>
                <w:sz w:val="24"/>
                <w:szCs w:val="24"/>
                <w:lang w:val="en-US"/>
              </w:rPr>
              <w:t>$</w:t>
            </w:r>
            <w:r w:rsidRPr="00A03688">
              <w:rPr>
                <w:b/>
                <w:lang w:val="en-US"/>
              </w:rPr>
              <w:t>)</w:t>
            </w:r>
          </w:p>
        </w:tc>
      </w:tr>
      <w:tr w:rsidR="00A3794C" w:rsidRPr="00A3794C" w14:paraId="150565EC" w14:textId="77777777" w:rsidTr="00A3794C">
        <w:tc>
          <w:tcPr>
            <w:tcW w:w="2265" w:type="dxa"/>
          </w:tcPr>
          <w:p w14:paraId="0F1F071A" w14:textId="77777777" w:rsidR="00A3794C" w:rsidRPr="00A3794C" w:rsidRDefault="00A3794C" w:rsidP="00A3794C">
            <w:pPr>
              <w:jc w:val="center"/>
              <w:rPr>
                <w:lang w:val="en-US"/>
              </w:rPr>
            </w:pPr>
            <w:r w:rsidRPr="00A3794C">
              <w:rPr>
                <w:lang w:val="en-US"/>
              </w:rPr>
              <w:t>2018</w:t>
            </w:r>
          </w:p>
        </w:tc>
        <w:tc>
          <w:tcPr>
            <w:tcW w:w="2265" w:type="dxa"/>
          </w:tcPr>
          <w:p w14:paraId="34602C50" w14:textId="77777777" w:rsidR="00A3794C" w:rsidRPr="00A3794C" w:rsidRDefault="00A3794C" w:rsidP="00A3794C">
            <w:pPr>
              <w:jc w:val="center"/>
              <w:rPr>
                <w:lang w:val="en-US"/>
              </w:rPr>
            </w:pPr>
            <w:r w:rsidRPr="00A3794C">
              <w:rPr>
                <w:lang w:val="en-US"/>
              </w:rPr>
              <w:t>20</w:t>
            </w:r>
          </w:p>
        </w:tc>
        <w:tc>
          <w:tcPr>
            <w:tcW w:w="2266" w:type="dxa"/>
          </w:tcPr>
          <w:p w14:paraId="6890D7EB" w14:textId="77777777" w:rsidR="00A3794C" w:rsidRPr="00A3794C" w:rsidRDefault="00A3794C" w:rsidP="00A3794C">
            <w:pPr>
              <w:jc w:val="center"/>
              <w:rPr>
                <w:lang w:val="en-US"/>
              </w:rPr>
            </w:pPr>
            <w:r w:rsidRPr="00A3794C">
              <w:rPr>
                <w:lang w:val="en-US"/>
              </w:rPr>
              <w:t>0</w:t>
            </w:r>
          </w:p>
        </w:tc>
        <w:tc>
          <w:tcPr>
            <w:tcW w:w="2266" w:type="dxa"/>
          </w:tcPr>
          <w:p w14:paraId="17B850EE" w14:textId="77777777" w:rsidR="00A3794C" w:rsidRPr="00A3794C" w:rsidRDefault="00A3794C" w:rsidP="00A3794C">
            <w:pPr>
              <w:jc w:val="center"/>
              <w:rPr>
                <w:lang w:val="en-US"/>
              </w:rPr>
            </w:pPr>
            <w:r w:rsidRPr="00A3794C">
              <w:rPr>
                <w:lang w:val="en-US"/>
              </w:rPr>
              <w:t>2000</w:t>
            </w:r>
          </w:p>
        </w:tc>
      </w:tr>
      <w:tr w:rsidR="00A3794C" w:rsidRPr="00A3794C" w14:paraId="3683E526" w14:textId="77777777" w:rsidTr="00A3794C">
        <w:tc>
          <w:tcPr>
            <w:tcW w:w="2265" w:type="dxa"/>
          </w:tcPr>
          <w:p w14:paraId="0B23CFB3" w14:textId="77777777" w:rsidR="00A3794C" w:rsidRPr="00A3794C" w:rsidRDefault="00A3794C" w:rsidP="00A3794C">
            <w:pPr>
              <w:jc w:val="center"/>
              <w:rPr>
                <w:lang w:val="en-US"/>
              </w:rPr>
            </w:pPr>
            <w:r w:rsidRPr="00A3794C">
              <w:rPr>
                <w:lang w:val="en-US"/>
              </w:rPr>
              <w:t>2019</w:t>
            </w:r>
          </w:p>
        </w:tc>
        <w:tc>
          <w:tcPr>
            <w:tcW w:w="2265" w:type="dxa"/>
          </w:tcPr>
          <w:p w14:paraId="77E3CC02" w14:textId="77777777" w:rsidR="00A3794C" w:rsidRPr="00A3794C" w:rsidRDefault="00A3794C" w:rsidP="00A3794C">
            <w:pPr>
              <w:jc w:val="center"/>
              <w:rPr>
                <w:lang w:val="en-US"/>
              </w:rPr>
            </w:pPr>
            <w:r w:rsidRPr="00A3794C">
              <w:rPr>
                <w:lang w:val="en-US"/>
              </w:rPr>
              <w:t>20</w:t>
            </w:r>
          </w:p>
        </w:tc>
        <w:tc>
          <w:tcPr>
            <w:tcW w:w="2266" w:type="dxa"/>
          </w:tcPr>
          <w:p w14:paraId="79165B97" w14:textId="77777777" w:rsidR="00A3794C" w:rsidRPr="00A3794C" w:rsidRDefault="00A3794C" w:rsidP="00A3794C">
            <w:pPr>
              <w:jc w:val="center"/>
              <w:rPr>
                <w:lang w:val="en-US"/>
              </w:rPr>
            </w:pPr>
            <w:r w:rsidRPr="00A3794C">
              <w:rPr>
                <w:lang w:val="en-US"/>
              </w:rPr>
              <w:t>5</w:t>
            </w:r>
          </w:p>
        </w:tc>
        <w:tc>
          <w:tcPr>
            <w:tcW w:w="2266" w:type="dxa"/>
          </w:tcPr>
          <w:p w14:paraId="69C49B3A" w14:textId="77777777" w:rsidR="00A3794C" w:rsidRPr="00A3794C" w:rsidRDefault="00A3794C" w:rsidP="00A3794C">
            <w:pPr>
              <w:jc w:val="center"/>
              <w:rPr>
                <w:lang w:val="en-US"/>
              </w:rPr>
            </w:pPr>
            <w:r w:rsidRPr="00A3794C">
              <w:rPr>
                <w:lang w:val="en-US"/>
              </w:rPr>
              <w:t>2000</w:t>
            </w:r>
          </w:p>
        </w:tc>
      </w:tr>
      <w:tr w:rsidR="00A3794C" w:rsidRPr="00A3794C" w14:paraId="49036B91" w14:textId="77777777" w:rsidTr="00A3794C">
        <w:tc>
          <w:tcPr>
            <w:tcW w:w="2265" w:type="dxa"/>
          </w:tcPr>
          <w:p w14:paraId="7CFABDEA" w14:textId="77777777" w:rsidR="00A3794C" w:rsidRPr="00A3794C" w:rsidRDefault="00A3794C" w:rsidP="00A3794C">
            <w:pPr>
              <w:jc w:val="center"/>
              <w:rPr>
                <w:lang w:val="en-US"/>
              </w:rPr>
            </w:pPr>
            <w:r w:rsidRPr="00A3794C">
              <w:rPr>
                <w:lang w:val="en-US"/>
              </w:rPr>
              <w:t>2020</w:t>
            </w:r>
          </w:p>
        </w:tc>
        <w:tc>
          <w:tcPr>
            <w:tcW w:w="2265" w:type="dxa"/>
          </w:tcPr>
          <w:p w14:paraId="3A54B56A" w14:textId="77777777" w:rsidR="00A3794C" w:rsidRPr="00A3794C" w:rsidRDefault="00A3794C" w:rsidP="00A3794C">
            <w:pPr>
              <w:jc w:val="center"/>
              <w:rPr>
                <w:lang w:val="en-US"/>
              </w:rPr>
            </w:pPr>
            <w:r w:rsidRPr="00A3794C">
              <w:rPr>
                <w:lang w:val="en-US"/>
              </w:rPr>
              <w:t>25</w:t>
            </w:r>
          </w:p>
        </w:tc>
        <w:tc>
          <w:tcPr>
            <w:tcW w:w="2266" w:type="dxa"/>
          </w:tcPr>
          <w:p w14:paraId="5EC083A4" w14:textId="77777777" w:rsidR="00A3794C" w:rsidRPr="00A3794C" w:rsidRDefault="00A3794C" w:rsidP="00A3794C">
            <w:pPr>
              <w:jc w:val="center"/>
              <w:rPr>
                <w:lang w:val="en-US"/>
              </w:rPr>
            </w:pPr>
            <w:r w:rsidRPr="00A3794C">
              <w:rPr>
                <w:lang w:val="en-US"/>
              </w:rPr>
              <w:t>5</w:t>
            </w:r>
          </w:p>
        </w:tc>
        <w:tc>
          <w:tcPr>
            <w:tcW w:w="2266" w:type="dxa"/>
          </w:tcPr>
          <w:p w14:paraId="1A870625" w14:textId="77777777" w:rsidR="00A3794C" w:rsidRPr="00A3794C" w:rsidRDefault="00A3794C" w:rsidP="00A3794C">
            <w:pPr>
              <w:jc w:val="center"/>
              <w:rPr>
                <w:lang w:val="en-US"/>
              </w:rPr>
            </w:pPr>
            <w:r w:rsidRPr="00A3794C">
              <w:rPr>
                <w:lang w:val="en-US"/>
              </w:rPr>
              <w:t>2500</w:t>
            </w:r>
          </w:p>
        </w:tc>
      </w:tr>
      <w:tr w:rsidR="00A3794C" w:rsidRPr="00A3794C" w14:paraId="150DAA53" w14:textId="77777777" w:rsidTr="00A3794C">
        <w:tc>
          <w:tcPr>
            <w:tcW w:w="2265" w:type="dxa"/>
          </w:tcPr>
          <w:p w14:paraId="2342875F" w14:textId="77777777" w:rsidR="00A3794C" w:rsidRPr="00A3794C" w:rsidRDefault="00A3794C" w:rsidP="00A3794C">
            <w:pPr>
              <w:jc w:val="center"/>
              <w:rPr>
                <w:lang w:val="en-US"/>
              </w:rPr>
            </w:pPr>
            <w:r w:rsidRPr="00A3794C">
              <w:rPr>
                <w:lang w:val="en-US"/>
              </w:rPr>
              <w:t>2021</w:t>
            </w:r>
          </w:p>
        </w:tc>
        <w:tc>
          <w:tcPr>
            <w:tcW w:w="2265" w:type="dxa"/>
          </w:tcPr>
          <w:p w14:paraId="4A501E5A" w14:textId="77777777" w:rsidR="00A3794C" w:rsidRPr="00A3794C" w:rsidRDefault="00A3794C" w:rsidP="00A3794C">
            <w:pPr>
              <w:jc w:val="center"/>
              <w:rPr>
                <w:lang w:val="en-US"/>
              </w:rPr>
            </w:pPr>
            <w:r w:rsidRPr="00A3794C">
              <w:rPr>
                <w:lang w:val="en-US"/>
              </w:rPr>
              <w:t>30</w:t>
            </w:r>
          </w:p>
        </w:tc>
        <w:tc>
          <w:tcPr>
            <w:tcW w:w="2266" w:type="dxa"/>
          </w:tcPr>
          <w:p w14:paraId="7EA95089" w14:textId="77777777" w:rsidR="00A3794C" w:rsidRPr="00A3794C" w:rsidRDefault="00A3794C" w:rsidP="00A3794C">
            <w:pPr>
              <w:jc w:val="center"/>
              <w:rPr>
                <w:lang w:val="en-US"/>
              </w:rPr>
            </w:pPr>
            <w:r w:rsidRPr="00A3794C">
              <w:rPr>
                <w:lang w:val="en-US"/>
              </w:rPr>
              <w:t>5</w:t>
            </w:r>
          </w:p>
        </w:tc>
        <w:tc>
          <w:tcPr>
            <w:tcW w:w="2266" w:type="dxa"/>
          </w:tcPr>
          <w:p w14:paraId="4083A2E9" w14:textId="77777777" w:rsidR="00A3794C" w:rsidRPr="00A3794C" w:rsidRDefault="00A3794C" w:rsidP="00A3794C">
            <w:pPr>
              <w:jc w:val="center"/>
              <w:rPr>
                <w:lang w:val="en-US"/>
              </w:rPr>
            </w:pPr>
            <w:r w:rsidRPr="00A3794C">
              <w:rPr>
                <w:lang w:val="en-US"/>
              </w:rPr>
              <w:t>3000</w:t>
            </w:r>
          </w:p>
        </w:tc>
      </w:tr>
      <w:tr w:rsidR="00A3794C" w:rsidRPr="00A3794C" w14:paraId="3EC00905" w14:textId="77777777" w:rsidTr="00A3794C">
        <w:tc>
          <w:tcPr>
            <w:tcW w:w="2265" w:type="dxa"/>
          </w:tcPr>
          <w:p w14:paraId="484BF849" w14:textId="77777777" w:rsidR="00A3794C" w:rsidRPr="00A3794C" w:rsidRDefault="00A3794C" w:rsidP="00A3794C">
            <w:pPr>
              <w:jc w:val="center"/>
              <w:rPr>
                <w:lang w:val="en-US"/>
              </w:rPr>
            </w:pPr>
            <w:r w:rsidRPr="00A3794C">
              <w:rPr>
                <w:lang w:val="en-US"/>
              </w:rPr>
              <w:t>2022</w:t>
            </w:r>
          </w:p>
        </w:tc>
        <w:tc>
          <w:tcPr>
            <w:tcW w:w="2265" w:type="dxa"/>
          </w:tcPr>
          <w:p w14:paraId="2580E2F6" w14:textId="77777777" w:rsidR="00A3794C" w:rsidRPr="00A3794C" w:rsidRDefault="00A3794C" w:rsidP="00A3794C">
            <w:pPr>
              <w:jc w:val="center"/>
              <w:rPr>
                <w:lang w:val="en-US"/>
              </w:rPr>
            </w:pPr>
            <w:r w:rsidRPr="00A3794C">
              <w:rPr>
                <w:lang w:val="en-US"/>
              </w:rPr>
              <w:t>35</w:t>
            </w:r>
          </w:p>
        </w:tc>
        <w:tc>
          <w:tcPr>
            <w:tcW w:w="2266" w:type="dxa"/>
          </w:tcPr>
          <w:p w14:paraId="5C8FB40F" w14:textId="77777777" w:rsidR="00A3794C" w:rsidRPr="00A3794C" w:rsidRDefault="00A3794C" w:rsidP="00A3794C">
            <w:pPr>
              <w:jc w:val="center"/>
              <w:rPr>
                <w:lang w:val="en-US"/>
              </w:rPr>
            </w:pPr>
            <w:r w:rsidRPr="00A3794C">
              <w:rPr>
                <w:lang w:val="en-US"/>
              </w:rPr>
              <w:t>5</w:t>
            </w:r>
          </w:p>
        </w:tc>
        <w:tc>
          <w:tcPr>
            <w:tcW w:w="2266" w:type="dxa"/>
          </w:tcPr>
          <w:p w14:paraId="0FFB823D" w14:textId="77777777" w:rsidR="00A3794C" w:rsidRPr="00A3794C" w:rsidRDefault="00A3794C" w:rsidP="00A3794C">
            <w:pPr>
              <w:jc w:val="center"/>
              <w:rPr>
                <w:lang w:val="en-US"/>
              </w:rPr>
            </w:pPr>
            <w:r w:rsidRPr="00A3794C">
              <w:rPr>
                <w:lang w:val="en-US"/>
              </w:rPr>
              <w:t>3500</w:t>
            </w:r>
          </w:p>
        </w:tc>
      </w:tr>
      <w:tr w:rsidR="00A3794C" w:rsidRPr="00A3794C" w14:paraId="5BF9EEAA" w14:textId="77777777" w:rsidTr="00A3794C">
        <w:tc>
          <w:tcPr>
            <w:tcW w:w="2265" w:type="dxa"/>
          </w:tcPr>
          <w:p w14:paraId="6826DAC2" w14:textId="77777777" w:rsidR="00A3794C" w:rsidRPr="00A3794C" w:rsidRDefault="00A3794C" w:rsidP="00A3794C">
            <w:pPr>
              <w:jc w:val="center"/>
              <w:rPr>
                <w:lang w:val="en-US"/>
              </w:rPr>
            </w:pPr>
            <w:r w:rsidRPr="00A3794C">
              <w:rPr>
                <w:lang w:val="en-US"/>
              </w:rPr>
              <w:t>2023</w:t>
            </w:r>
          </w:p>
        </w:tc>
        <w:tc>
          <w:tcPr>
            <w:tcW w:w="2265" w:type="dxa"/>
          </w:tcPr>
          <w:p w14:paraId="35A32B6E" w14:textId="77777777" w:rsidR="00A3794C" w:rsidRPr="00A3794C" w:rsidRDefault="00A3794C" w:rsidP="00A3794C">
            <w:pPr>
              <w:jc w:val="center"/>
              <w:rPr>
                <w:lang w:val="en-US"/>
              </w:rPr>
            </w:pPr>
            <w:r w:rsidRPr="00A3794C">
              <w:rPr>
                <w:lang w:val="en-US"/>
              </w:rPr>
              <w:t>40</w:t>
            </w:r>
          </w:p>
        </w:tc>
        <w:tc>
          <w:tcPr>
            <w:tcW w:w="2266" w:type="dxa"/>
          </w:tcPr>
          <w:p w14:paraId="4FC5E477" w14:textId="77777777" w:rsidR="00A3794C" w:rsidRPr="00A3794C" w:rsidRDefault="00A3794C" w:rsidP="00A3794C">
            <w:pPr>
              <w:jc w:val="center"/>
              <w:rPr>
                <w:lang w:val="en-US"/>
              </w:rPr>
            </w:pPr>
            <w:r w:rsidRPr="00A3794C">
              <w:rPr>
                <w:lang w:val="en-US"/>
              </w:rPr>
              <w:t>0</w:t>
            </w:r>
          </w:p>
        </w:tc>
        <w:tc>
          <w:tcPr>
            <w:tcW w:w="2266" w:type="dxa"/>
          </w:tcPr>
          <w:p w14:paraId="75DA8A56" w14:textId="77777777" w:rsidR="00A3794C" w:rsidRPr="00A3794C" w:rsidRDefault="00A3794C" w:rsidP="00A3794C">
            <w:pPr>
              <w:jc w:val="center"/>
              <w:rPr>
                <w:lang w:val="en-US"/>
              </w:rPr>
            </w:pPr>
            <w:r w:rsidRPr="00A3794C">
              <w:rPr>
                <w:lang w:val="en-US"/>
              </w:rPr>
              <w:t>4000</w:t>
            </w:r>
          </w:p>
        </w:tc>
      </w:tr>
    </w:tbl>
    <w:p w14:paraId="1E45DF7A" w14:textId="77777777" w:rsidR="00A3794C" w:rsidRPr="00A3794C" w:rsidRDefault="00A3794C" w:rsidP="00A3794C">
      <w:pPr>
        <w:jc w:val="both"/>
        <w:rPr>
          <w:lang w:val="en-US"/>
        </w:rPr>
      </w:pPr>
    </w:p>
    <w:p w14:paraId="799B1E7D" w14:textId="77777777" w:rsidR="00A3794C" w:rsidRPr="00A3794C" w:rsidRDefault="00A3794C" w:rsidP="00A3794C">
      <w:pPr>
        <w:jc w:val="both"/>
        <w:rPr>
          <w:lang w:val="en-US"/>
        </w:rPr>
      </w:pPr>
    </w:p>
    <w:p w14:paraId="4EED9313" w14:textId="77777777" w:rsidR="00A3794C" w:rsidRDefault="00A3794C" w:rsidP="00A3794C">
      <w:pPr>
        <w:jc w:val="both"/>
        <w:rPr>
          <w:rFonts w:cstheme="minorHAnsi"/>
          <w:sz w:val="24"/>
          <w:szCs w:val="24"/>
          <w:lang w:val="en-US"/>
        </w:rPr>
      </w:pPr>
      <w:r w:rsidRPr="00A3794C">
        <w:rPr>
          <w:rFonts w:cstheme="minorHAnsi"/>
          <w:sz w:val="24"/>
          <w:szCs w:val="24"/>
          <w:lang w:val="en-US"/>
        </w:rPr>
        <w:t>Recall that it takes 12 months to build each store and it produces no revenues during the year it is constructed, although rental ($30,000 per store) and incremental SG&amp;A ($3,000 per store) start when construction starts. Depreciation does not start until the store produces revenues.</w:t>
      </w:r>
    </w:p>
    <w:tbl>
      <w:tblPr>
        <w:tblStyle w:val="TableGrid"/>
        <w:tblW w:w="0" w:type="auto"/>
        <w:tblLook w:val="04A0" w:firstRow="1" w:lastRow="0" w:firstColumn="1" w:lastColumn="0" w:noHBand="0" w:noVBand="1"/>
      </w:tblPr>
      <w:tblGrid>
        <w:gridCol w:w="4531"/>
        <w:gridCol w:w="4531"/>
      </w:tblGrid>
      <w:tr w:rsidR="00A03688" w14:paraId="5282FB39" w14:textId="77777777" w:rsidTr="00762C35">
        <w:tc>
          <w:tcPr>
            <w:tcW w:w="9062" w:type="dxa"/>
            <w:gridSpan w:val="2"/>
          </w:tcPr>
          <w:p w14:paraId="0B302EE0" w14:textId="77777777" w:rsidR="00A03688" w:rsidRPr="00A03688" w:rsidRDefault="00A03688" w:rsidP="00A3794C">
            <w:pPr>
              <w:jc w:val="both"/>
              <w:rPr>
                <w:rFonts w:cstheme="minorHAnsi"/>
                <w:b/>
                <w:sz w:val="24"/>
                <w:szCs w:val="24"/>
                <w:lang w:val="en-US"/>
              </w:rPr>
            </w:pPr>
            <w:r w:rsidRPr="00A03688">
              <w:rPr>
                <w:rFonts w:cstheme="minorHAnsi"/>
                <w:b/>
                <w:sz w:val="24"/>
                <w:szCs w:val="24"/>
                <w:lang w:val="en-US"/>
              </w:rPr>
              <w:t>Income Statement (Year ended Dec. 31, 2018; figures in thousands)</w:t>
            </w:r>
          </w:p>
        </w:tc>
      </w:tr>
      <w:tr w:rsidR="00A03688" w14:paraId="50E202DF" w14:textId="77777777" w:rsidTr="00A03688">
        <w:tc>
          <w:tcPr>
            <w:tcW w:w="4531" w:type="dxa"/>
          </w:tcPr>
          <w:p w14:paraId="05ECAE39" w14:textId="77777777" w:rsidR="00A03688" w:rsidRDefault="00A03688" w:rsidP="00A3794C">
            <w:pPr>
              <w:jc w:val="both"/>
              <w:rPr>
                <w:rFonts w:cstheme="minorHAnsi"/>
                <w:sz w:val="24"/>
                <w:szCs w:val="24"/>
                <w:lang w:val="en-US"/>
              </w:rPr>
            </w:pPr>
            <w:r>
              <w:rPr>
                <w:rFonts w:cstheme="minorHAnsi"/>
                <w:sz w:val="24"/>
                <w:szCs w:val="24"/>
                <w:lang w:val="en-US"/>
              </w:rPr>
              <w:t>Revenue</w:t>
            </w:r>
          </w:p>
        </w:tc>
        <w:tc>
          <w:tcPr>
            <w:tcW w:w="4531" w:type="dxa"/>
          </w:tcPr>
          <w:p w14:paraId="63E4857D" w14:textId="77777777" w:rsidR="00A03688" w:rsidRDefault="00A03688" w:rsidP="00A03688">
            <w:pPr>
              <w:jc w:val="right"/>
              <w:rPr>
                <w:rFonts w:cstheme="minorHAnsi"/>
                <w:sz w:val="24"/>
                <w:szCs w:val="24"/>
                <w:lang w:val="en-US"/>
              </w:rPr>
            </w:pPr>
            <w:r>
              <w:rPr>
                <w:rFonts w:cstheme="minorHAnsi"/>
                <w:sz w:val="24"/>
                <w:szCs w:val="24"/>
                <w:lang w:val="en-US"/>
              </w:rPr>
              <w:t>2000</w:t>
            </w:r>
          </w:p>
        </w:tc>
      </w:tr>
      <w:tr w:rsidR="00A03688" w14:paraId="1918684F" w14:textId="77777777" w:rsidTr="00A03688">
        <w:tc>
          <w:tcPr>
            <w:tcW w:w="4531" w:type="dxa"/>
          </w:tcPr>
          <w:p w14:paraId="09950586" w14:textId="77777777" w:rsidR="00A03688" w:rsidRDefault="00A03688" w:rsidP="00A3794C">
            <w:pPr>
              <w:jc w:val="both"/>
              <w:rPr>
                <w:rFonts w:cstheme="minorHAnsi"/>
                <w:sz w:val="24"/>
                <w:szCs w:val="24"/>
                <w:lang w:val="en-US"/>
              </w:rPr>
            </w:pPr>
            <w:r>
              <w:rPr>
                <w:rFonts w:cstheme="minorHAnsi"/>
                <w:sz w:val="24"/>
                <w:szCs w:val="24"/>
                <w:lang w:val="en-US"/>
              </w:rPr>
              <w:t>COGS</w:t>
            </w:r>
          </w:p>
        </w:tc>
        <w:tc>
          <w:tcPr>
            <w:tcW w:w="4531" w:type="dxa"/>
          </w:tcPr>
          <w:p w14:paraId="3501975C" w14:textId="77777777" w:rsidR="00A03688" w:rsidRDefault="00A03688" w:rsidP="00A03688">
            <w:pPr>
              <w:jc w:val="right"/>
              <w:rPr>
                <w:rFonts w:cstheme="minorHAnsi"/>
                <w:sz w:val="24"/>
                <w:szCs w:val="24"/>
                <w:lang w:val="en-US"/>
              </w:rPr>
            </w:pPr>
            <w:r>
              <w:rPr>
                <w:rFonts w:cstheme="minorHAnsi"/>
                <w:sz w:val="24"/>
                <w:szCs w:val="24"/>
                <w:lang w:val="en-US"/>
              </w:rPr>
              <w:t>400</w:t>
            </w:r>
          </w:p>
        </w:tc>
      </w:tr>
      <w:tr w:rsidR="00A03688" w14:paraId="652D3F7F" w14:textId="77777777" w:rsidTr="00A03688">
        <w:tc>
          <w:tcPr>
            <w:tcW w:w="4531" w:type="dxa"/>
          </w:tcPr>
          <w:p w14:paraId="586667E7" w14:textId="77777777" w:rsidR="00A03688" w:rsidRDefault="00A03688" w:rsidP="00A3794C">
            <w:pPr>
              <w:jc w:val="both"/>
              <w:rPr>
                <w:rFonts w:cstheme="minorHAnsi"/>
                <w:sz w:val="24"/>
                <w:szCs w:val="24"/>
                <w:lang w:val="en-US"/>
              </w:rPr>
            </w:pPr>
            <w:r>
              <w:rPr>
                <w:rFonts w:cstheme="minorHAnsi"/>
                <w:sz w:val="24"/>
                <w:szCs w:val="24"/>
                <w:lang w:val="en-US"/>
              </w:rPr>
              <w:t>Gross Margin</w:t>
            </w:r>
          </w:p>
        </w:tc>
        <w:tc>
          <w:tcPr>
            <w:tcW w:w="4531" w:type="dxa"/>
          </w:tcPr>
          <w:p w14:paraId="6BACF483" w14:textId="77777777" w:rsidR="00A03688" w:rsidRDefault="00A03688" w:rsidP="00A03688">
            <w:pPr>
              <w:jc w:val="right"/>
              <w:rPr>
                <w:rFonts w:cstheme="minorHAnsi"/>
                <w:sz w:val="24"/>
                <w:szCs w:val="24"/>
                <w:lang w:val="en-US"/>
              </w:rPr>
            </w:pPr>
            <w:r>
              <w:rPr>
                <w:rFonts w:cstheme="minorHAnsi"/>
                <w:sz w:val="24"/>
                <w:szCs w:val="24"/>
                <w:lang w:val="en-US"/>
              </w:rPr>
              <w:t>1600</w:t>
            </w:r>
          </w:p>
        </w:tc>
      </w:tr>
      <w:tr w:rsidR="00A03688" w14:paraId="1223496D" w14:textId="77777777" w:rsidTr="00A03688">
        <w:tc>
          <w:tcPr>
            <w:tcW w:w="4531" w:type="dxa"/>
          </w:tcPr>
          <w:p w14:paraId="13E9D95C" w14:textId="77777777" w:rsidR="00A03688" w:rsidRDefault="00A03688" w:rsidP="00A3794C">
            <w:pPr>
              <w:jc w:val="both"/>
              <w:rPr>
                <w:rFonts w:cstheme="minorHAnsi"/>
                <w:sz w:val="24"/>
                <w:szCs w:val="24"/>
                <w:lang w:val="en-US"/>
              </w:rPr>
            </w:pPr>
            <w:r>
              <w:rPr>
                <w:rFonts w:cstheme="minorHAnsi"/>
                <w:sz w:val="24"/>
                <w:szCs w:val="24"/>
                <w:lang w:val="en-US"/>
              </w:rPr>
              <w:t>SG&amp;A</w:t>
            </w:r>
          </w:p>
        </w:tc>
        <w:tc>
          <w:tcPr>
            <w:tcW w:w="4531" w:type="dxa"/>
          </w:tcPr>
          <w:p w14:paraId="0D445952" w14:textId="77777777" w:rsidR="00A03688" w:rsidRDefault="00A03688" w:rsidP="00A03688">
            <w:pPr>
              <w:jc w:val="right"/>
              <w:rPr>
                <w:rFonts w:cstheme="minorHAnsi"/>
                <w:sz w:val="24"/>
                <w:szCs w:val="24"/>
                <w:lang w:val="en-US"/>
              </w:rPr>
            </w:pPr>
            <w:r>
              <w:rPr>
                <w:rFonts w:cstheme="minorHAnsi"/>
                <w:sz w:val="24"/>
                <w:szCs w:val="24"/>
                <w:lang w:val="en-US"/>
              </w:rPr>
              <w:t>60</w:t>
            </w:r>
          </w:p>
        </w:tc>
      </w:tr>
      <w:tr w:rsidR="00A03688" w14:paraId="4201FF14" w14:textId="77777777" w:rsidTr="00A03688">
        <w:tc>
          <w:tcPr>
            <w:tcW w:w="4531" w:type="dxa"/>
          </w:tcPr>
          <w:p w14:paraId="6EC49BA2" w14:textId="77777777" w:rsidR="00A03688" w:rsidRDefault="00A03688" w:rsidP="00A3794C">
            <w:pPr>
              <w:jc w:val="both"/>
              <w:rPr>
                <w:rFonts w:cstheme="minorHAnsi"/>
                <w:sz w:val="24"/>
                <w:szCs w:val="24"/>
                <w:lang w:val="en-US"/>
              </w:rPr>
            </w:pPr>
            <w:r>
              <w:rPr>
                <w:rFonts w:cstheme="minorHAnsi"/>
                <w:sz w:val="24"/>
                <w:szCs w:val="24"/>
                <w:lang w:val="en-US"/>
              </w:rPr>
              <w:t>Rental</w:t>
            </w:r>
          </w:p>
        </w:tc>
        <w:tc>
          <w:tcPr>
            <w:tcW w:w="4531" w:type="dxa"/>
          </w:tcPr>
          <w:p w14:paraId="0793892C" w14:textId="77777777" w:rsidR="00A03688" w:rsidRDefault="00A03688" w:rsidP="00A03688">
            <w:pPr>
              <w:jc w:val="right"/>
              <w:rPr>
                <w:rFonts w:cstheme="minorHAnsi"/>
                <w:sz w:val="24"/>
                <w:szCs w:val="24"/>
                <w:lang w:val="en-US"/>
              </w:rPr>
            </w:pPr>
            <w:r>
              <w:rPr>
                <w:rFonts w:cstheme="minorHAnsi"/>
                <w:sz w:val="24"/>
                <w:szCs w:val="24"/>
                <w:lang w:val="en-US"/>
              </w:rPr>
              <w:t>600</w:t>
            </w:r>
          </w:p>
        </w:tc>
      </w:tr>
      <w:tr w:rsidR="00A03688" w14:paraId="592D0EDD" w14:textId="77777777" w:rsidTr="00A03688">
        <w:tc>
          <w:tcPr>
            <w:tcW w:w="4531" w:type="dxa"/>
          </w:tcPr>
          <w:p w14:paraId="61A36E8A" w14:textId="77777777" w:rsidR="00A03688" w:rsidRDefault="00A03688" w:rsidP="00A03688">
            <w:pPr>
              <w:jc w:val="both"/>
              <w:rPr>
                <w:rFonts w:cstheme="minorHAnsi"/>
                <w:sz w:val="24"/>
                <w:szCs w:val="24"/>
                <w:lang w:val="en-US"/>
              </w:rPr>
            </w:pPr>
            <w:r>
              <w:rPr>
                <w:rFonts w:cstheme="minorHAnsi"/>
                <w:sz w:val="24"/>
                <w:szCs w:val="24"/>
                <w:lang w:val="en-US"/>
              </w:rPr>
              <w:t>Depreciation</w:t>
            </w:r>
          </w:p>
        </w:tc>
        <w:tc>
          <w:tcPr>
            <w:tcW w:w="4531" w:type="dxa"/>
          </w:tcPr>
          <w:p w14:paraId="55D4A0E3" w14:textId="77777777" w:rsidR="00A03688" w:rsidRDefault="00A03688" w:rsidP="00A03688">
            <w:pPr>
              <w:jc w:val="right"/>
              <w:rPr>
                <w:rFonts w:cstheme="minorHAnsi"/>
                <w:sz w:val="24"/>
                <w:szCs w:val="24"/>
                <w:lang w:val="en-US"/>
              </w:rPr>
            </w:pPr>
            <w:r>
              <w:rPr>
                <w:rFonts w:cstheme="minorHAnsi"/>
                <w:sz w:val="24"/>
                <w:szCs w:val="24"/>
                <w:lang w:val="en-US"/>
              </w:rPr>
              <w:t>400</w:t>
            </w:r>
          </w:p>
        </w:tc>
      </w:tr>
      <w:tr w:rsidR="00A03688" w14:paraId="55E65FEF" w14:textId="77777777" w:rsidTr="00A03688">
        <w:tc>
          <w:tcPr>
            <w:tcW w:w="4531" w:type="dxa"/>
          </w:tcPr>
          <w:p w14:paraId="30A00B6E" w14:textId="77777777" w:rsidR="00A03688" w:rsidRDefault="00A03688" w:rsidP="00A3794C">
            <w:pPr>
              <w:jc w:val="both"/>
              <w:rPr>
                <w:rFonts w:cstheme="minorHAnsi"/>
                <w:sz w:val="24"/>
                <w:szCs w:val="24"/>
                <w:lang w:val="en-US"/>
              </w:rPr>
            </w:pPr>
            <w:r>
              <w:rPr>
                <w:rFonts w:cstheme="minorHAnsi"/>
                <w:sz w:val="24"/>
                <w:szCs w:val="24"/>
                <w:lang w:val="en-US"/>
              </w:rPr>
              <w:t>Profit Before Tax</w:t>
            </w:r>
          </w:p>
        </w:tc>
        <w:tc>
          <w:tcPr>
            <w:tcW w:w="4531" w:type="dxa"/>
          </w:tcPr>
          <w:p w14:paraId="06E337F5" w14:textId="77777777" w:rsidR="00A03688" w:rsidRDefault="00A03688" w:rsidP="00A03688">
            <w:pPr>
              <w:jc w:val="right"/>
              <w:rPr>
                <w:rFonts w:cstheme="minorHAnsi"/>
                <w:sz w:val="24"/>
                <w:szCs w:val="24"/>
                <w:lang w:val="en-US"/>
              </w:rPr>
            </w:pPr>
            <w:r>
              <w:rPr>
                <w:rFonts w:cstheme="minorHAnsi"/>
                <w:sz w:val="24"/>
                <w:szCs w:val="24"/>
                <w:lang w:val="en-US"/>
              </w:rPr>
              <w:t>540</w:t>
            </w:r>
          </w:p>
        </w:tc>
      </w:tr>
      <w:tr w:rsidR="00A03688" w14:paraId="77471FFF" w14:textId="77777777" w:rsidTr="00A03688">
        <w:tc>
          <w:tcPr>
            <w:tcW w:w="4531" w:type="dxa"/>
          </w:tcPr>
          <w:p w14:paraId="01FB3AEE" w14:textId="77777777" w:rsidR="00A03688" w:rsidRDefault="00A03688" w:rsidP="00A3794C">
            <w:pPr>
              <w:jc w:val="both"/>
              <w:rPr>
                <w:rFonts w:cstheme="minorHAnsi"/>
                <w:sz w:val="24"/>
                <w:szCs w:val="24"/>
                <w:lang w:val="en-US"/>
              </w:rPr>
            </w:pPr>
            <w:r>
              <w:rPr>
                <w:rFonts w:cstheme="minorHAnsi"/>
                <w:sz w:val="24"/>
                <w:szCs w:val="24"/>
                <w:lang w:val="en-US"/>
              </w:rPr>
              <w:t>Tax</w:t>
            </w:r>
          </w:p>
        </w:tc>
        <w:tc>
          <w:tcPr>
            <w:tcW w:w="4531" w:type="dxa"/>
          </w:tcPr>
          <w:p w14:paraId="1E106D8B" w14:textId="77777777" w:rsidR="00A03688" w:rsidRDefault="00A03688" w:rsidP="00A03688">
            <w:pPr>
              <w:jc w:val="right"/>
              <w:rPr>
                <w:rFonts w:cstheme="minorHAnsi"/>
                <w:sz w:val="24"/>
                <w:szCs w:val="24"/>
                <w:lang w:val="en-US"/>
              </w:rPr>
            </w:pPr>
            <w:r>
              <w:rPr>
                <w:rFonts w:cstheme="minorHAnsi"/>
                <w:sz w:val="24"/>
                <w:szCs w:val="24"/>
                <w:lang w:val="en-US"/>
              </w:rPr>
              <w:t>113</w:t>
            </w:r>
          </w:p>
        </w:tc>
      </w:tr>
      <w:tr w:rsidR="00A03688" w14:paraId="291F5256" w14:textId="77777777" w:rsidTr="00A03688">
        <w:tc>
          <w:tcPr>
            <w:tcW w:w="4531" w:type="dxa"/>
          </w:tcPr>
          <w:p w14:paraId="7EA37ACF" w14:textId="77777777" w:rsidR="00A03688" w:rsidRDefault="00A03688" w:rsidP="00A3794C">
            <w:pPr>
              <w:jc w:val="both"/>
              <w:rPr>
                <w:rFonts w:cstheme="minorHAnsi"/>
                <w:sz w:val="24"/>
                <w:szCs w:val="24"/>
                <w:lang w:val="en-US"/>
              </w:rPr>
            </w:pPr>
            <w:r>
              <w:rPr>
                <w:rFonts w:cstheme="minorHAnsi"/>
                <w:sz w:val="24"/>
                <w:szCs w:val="24"/>
                <w:lang w:val="en-US"/>
              </w:rPr>
              <w:t>Profit After Tax</w:t>
            </w:r>
          </w:p>
        </w:tc>
        <w:tc>
          <w:tcPr>
            <w:tcW w:w="4531" w:type="dxa"/>
          </w:tcPr>
          <w:p w14:paraId="60AB5D18" w14:textId="77777777" w:rsidR="00A03688" w:rsidRDefault="00A03688" w:rsidP="00A03688">
            <w:pPr>
              <w:jc w:val="right"/>
              <w:rPr>
                <w:rFonts w:cstheme="minorHAnsi"/>
                <w:sz w:val="24"/>
                <w:szCs w:val="24"/>
                <w:lang w:val="en-US"/>
              </w:rPr>
            </w:pPr>
            <w:r>
              <w:rPr>
                <w:rFonts w:cstheme="minorHAnsi"/>
                <w:sz w:val="24"/>
                <w:szCs w:val="24"/>
                <w:lang w:val="en-US"/>
              </w:rPr>
              <w:t>427</w:t>
            </w:r>
          </w:p>
        </w:tc>
      </w:tr>
    </w:tbl>
    <w:p w14:paraId="31A6874F" w14:textId="77777777" w:rsidR="00A03688" w:rsidRDefault="00A03688" w:rsidP="00A3794C">
      <w:pPr>
        <w:jc w:val="both"/>
        <w:rPr>
          <w:rFonts w:cstheme="minorHAnsi"/>
          <w:sz w:val="24"/>
          <w:szCs w:val="24"/>
          <w:lang w:val="en-US"/>
        </w:rPr>
      </w:pPr>
    </w:p>
    <w:tbl>
      <w:tblPr>
        <w:tblStyle w:val="TableGrid"/>
        <w:tblW w:w="0" w:type="auto"/>
        <w:tblLook w:val="04A0" w:firstRow="1" w:lastRow="0" w:firstColumn="1" w:lastColumn="0" w:noHBand="0" w:noVBand="1"/>
      </w:tblPr>
      <w:tblGrid>
        <w:gridCol w:w="4531"/>
        <w:gridCol w:w="4531"/>
      </w:tblGrid>
      <w:tr w:rsidR="009F1DFE" w14:paraId="3FCD5B09" w14:textId="77777777" w:rsidTr="00055D4B">
        <w:tc>
          <w:tcPr>
            <w:tcW w:w="9062" w:type="dxa"/>
            <w:gridSpan w:val="2"/>
          </w:tcPr>
          <w:p w14:paraId="5CA1A1E9" w14:textId="77777777" w:rsidR="009F1DFE" w:rsidRPr="009F1DFE" w:rsidRDefault="009F1DFE" w:rsidP="009F1DFE">
            <w:pPr>
              <w:jc w:val="both"/>
              <w:rPr>
                <w:rFonts w:cstheme="minorHAnsi"/>
                <w:b/>
                <w:sz w:val="24"/>
                <w:szCs w:val="24"/>
                <w:lang w:val="en-US"/>
              </w:rPr>
            </w:pPr>
            <w:r w:rsidRPr="009F1DFE">
              <w:rPr>
                <w:rFonts w:cstheme="minorHAnsi"/>
                <w:b/>
                <w:sz w:val="24"/>
                <w:szCs w:val="24"/>
                <w:lang w:val="en-US"/>
              </w:rPr>
              <w:t>Property, Plant and Equipment (Year ended Dec. 31, 2018; figures in thousands)</w:t>
            </w:r>
          </w:p>
        </w:tc>
      </w:tr>
      <w:tr w:rsidR="009F1DFE" w14:paraId="1E33382B" w14:textId="77777777" w:rsidTr="009F1DFE">
        <w:tc>
          <w:tcPr>
            <w:tcW w:w="4531" w:type="dxa"/>
          </w:tcPr>
          <w:p w14:paraId="442A379E" w14:textId="77777777" w:rsidR="009F1DFE" w:rsidRDefault="009F1DFE" w:rsidP="00A3794C">
            <w:pPr>
              <w:jc w:val="both"/>
              <w:rPr>
                <w:rFonts w:cstheme="minorHAnsi"/>
                <w:sz w:val="24"/>
                <w:szCs w:val="24"/>
                <w:lang w:val="en-US"/>
              </w:rPr>
            </w:pPr>
            <w:r>
              <w:rPr>
                <w:rFonts w:cstheme="minorHAnsi"/>
                <w:sz w:val="24"/>
                <w:szCs w:val="24"/>
                <w:lang w:val="en-US"/>
              </w:rPr>
              <w:t>Property, Plant and Equipment (Gross)</w:t>
            </w:r>
          </w:p>
        </w:tc>
        <w:tc>
          <w:tcPr>
            <w:tcW w:w="4531" w:type="dxa"/>
          </w:tcPr>
          <w:p w14:paraId="22A48FF4" w14:textId="77777777" w:rsidR="009F1DFE" w:rsidRDefault="009F1DFE" w:rsidP="009F1DFE">
            <w:pPr>
              <w:jc w:val="right"/>
              <w:rPr>
                <w:rFonts w:cstheme="minorHAnsi"/>
                <w:sz w:val="24"/>
                <w:szCs w:val="24"/>
                <w:lang w:val="en-US"/>
              </w:rPr>
            </w:pPr>
            <w:r>
              <w:rPr>
                <w:rFonts w:cstheme="minorHAnsi"/>
                <w:sz w:val="24"/>
                <w:szCs w:val="24"/>
                <w:lang w:val="en-US"/>
              </w:rPr>
              <w:t>4000</w:t>
            </w:r>
          </w:p>
        </w:tc>
      </w:tr>
      <w:tr w:rsidR="009F1DFE" w14:paraId="74232206" w14:textId="77777777" w:rsidTr="009F1DFE">
        <w:tc>
          <w:tcPr>
            <w:tcW w:w="4531" w:type="dxa"/>
          </w:tcPr>
          <w:p w14:paraId="2DFE89C3" w14:textId="77777777" w:rsidR="009F1DFE" w:rsidRDefault="009F1DFE" w:rsidP="00A3794C">
            <w:pPr>
              <w:jc w:val="both"/>
              <w:rPr>
                <w:rFonts w:cstheme="minorHAnsi"/>
                <w:sz w:val="24"/>
                <w:szCs w:val="24"/>
                <w:lang w:val="en-US"/>
              </w:rPr>
            </w:pPr>
            <w:r>
              <w:rPr>
                <w:rFonts w:cstheme="minorHAnsi"/>
                <w:sz w:val="24"/>
                <w:szCs w:val="24"/>
                <w:lang w:val="en-US"/>
              </w:rPr>
              <w:t>Accumulated Depreciation</w:t>
            </w:r>
          </w:p>
        </w:tc>
        <w:tc>
          <w:tcPr>
            <w:tcW w:w="4531" w:type="dxa"/>
          </w:tcPr>
          <w:p w14:paraId="18F7C3E7" w14:textId="77777777" w:rsidR="009F1DFE" w:rsidRDefault="009F1DFE" w:rsidP="009F1DFE">
            <w:pPr>
              <w:jc w:val="right"/>
              <w:rPr>
                <w:rFonts w:cstheme="minorHAnsi"/>
                <w:sz w:val="24"/>
                <w:szCs w:val="24"/>
                <w:lang w:val="en-US"/>
              </w:rPr>
            </w:pPr>
            <w:r>
              <w:rPr>
                <w:rFonts w:cstheme="minorHAnsi"/>
                <w:sz w:val="24"/>
                <w:szCs w:val="24"/>
                <w:lang w:val="en-US"/>
              </w:rPr>
              <w:t>800</w:t>
            </w:r>
          </w:p>
        </w:tc>
      </w:tr>
      <w:tr w:rsidR="009F1DFE" w14:paraId="01572C37" w14:textId="77777777" w:rsidTr="009F1DFE">
        <w:tc>
          <w:tcPr>
            <w:tcW w:w="4531" w:type="dxa"/>
          </w:tcPr>
          <w:p w14:paraId="02DD275C" w14:textId="77777777" w:rsidR="009F1DFE" w:rsidRDefault="009F1DFE" w:rsidP="00A3794C">
            <w:pPr>
              <w:jc w:val="both"/>
              <w:rPr>
                <w:rFonts w:cstheme="minorHAnsi"/>
                <w:sz w:val="24"/>
                <w:szCs w:val="24"/>
                <w:lang w:val="en-US"/>
              </w:rPr>
            </w:pPr>
            <w:r>
              <w:rPr>
                <w:rFonts w:cstheme="minorHAnsi"/>
                <w:sz w:val="24"/>
                <w:szCs w:val="24"/>
                <w:lang w:val="en-US"/>
              </w:rPr>
              <w:t>Property, Plant and Equipment (Net)</w:t>
            </w:r>
          </w:p>
        </w:tc>
        <w:tc>
          <w:tcPr>
            <w:tcW w:w="4531" w:type="dxa"/>
          </w:tcPr>
          <w:p w14:paraId="793BAC8A" w14:textId="77777777" w:rsidR="009F1DFE" w:rsidRDefault="009F1DFE" w:rsidP="009F1DFE">
            <w:pPr>
              <w:jc w:val="right"/>
              <w:rPr>
                <w:rFonts w:cstheme="minorHAnsi"/>
                <w:sz w:val="24"/>
                <w:szCs w:val="24"/>
                <w:lang w:val="en-US"/>
              </w:rPr>
            </w:pPr>
            <w:r>
              <w:rPr>
                <w:rFonts w:cstheme="minorHAnsi"/>
                <w:sz w:val="24"/>
                <w:szCs w:val="24"/>
                <w:lang w:val="en-US"/>
              </w:rPr>
              <w:t>3200</w:t>
            </w:r>
          </w:p>
        </w:tc>
      </w:tr>
    </w:tbl>
    <w:p w14:paraId="0847EAC3" w14:textId="77777777" w:rsidR="009F1DFE" w:rsidRPr="00A3794C" w:rsidRDefault="009F1DFE" w:rsidP="00A3794C">
      <w:pPr>
        <w:jc w:val="both"/>
        <w:rPr>
          <w:rFonts w:cstheme="minorHAnsi"/>
          <w:sz w:val="24"/>
          <w:szCs w:val="24"/>
          <w:lang w:val="en-US"/>
        </w:rPr>
      </w:pPr>
    </w:p>
    <w:sectPr w:rsidR="009F1DFE" w:rsidRPr="00A37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26E92"/>
    <w:multiLevelType w:val="hybridMultilevel"/>
    <w:tmpl w:val="1D8CC9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78631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94C"/>
    <w:rsid w:val="00065DAD"/>
    <w:rsid w:val="001E7CC3"/>
    <w:rsid w:val="0051424D"/>
    <w:rsid w:val="009F1DFE"/>
    <w:rsid w:val="00A03688"/>
    <w:rsid w:val="00A3794C"/>
    <w:rsid w:val="00C17A2A"/>
    <w:rsid w:val="00D2716A"/>
    <w:rsid w:val="00E326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3BC5"/>
  <w15:chartTrackingRefBased/>
  <w15:docId w15:val="{EAD809AB-AB0B-40E9-B17E-FD358B7B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7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7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991D128B54415408C8A561EDBEF6F59" ma:contentTypeVersion="8" ma:contentTypeDescription="Umožňuje vytvoriť nový dokument." ma:contentTypeScope="" ma:versionID="01fbc4280fcd9272b2b40d372327aa9d">
  <xsd:schema xmlns:xsd="http://www.w3.org/2001/XMLSchema" xmlns:xs="http://www.w3.org/2001/XMLSchema" xmlns:p="http://schemas.microsoft.com/office/2006/metadata/properties" xmlns:ns2="23ed4d53-f3bb-4aa9-a1ea-eab483942ada" targetNamespace="http://schemas.microsoft.com/office/2006/metadata/properties" ma:root="true" ma:fieldsID="2e59d58f6f9fe5d61ccf4290d6518c14" ns2:_="">
    <xsd:import namespace="23ed4d53-f3bb-4aa9-a1ea-eab483942a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d4d53-f3bb-4aa9-a1ea-eab483942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D25867-CE21-488D-8D1D-C7AAFA566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BFB55A-5373-4C7A-AEDB-BD12D015F2EE}">
  <ds:schemaRefs>
    <ds:schemaRef ds:uri="http://schemas.microsoft.com/sharepoint/v3/contenttype/forms"/>
  </ds:schemaRefs>
</ds:datastoreItem>
</file>

<file path=customXml/itemProps3.xml><?xml version="1.0" encoding="utf-8"?>
<ds:datastoreItem xmlns:ds="http://schemas.openxmlformats.org/officeDocument/2006/customXml" ds:itemID="{FA87150F-97DE-4C32-9DFC-D93AA2347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d4d53-f3bb-4aa9-a1ea-eab483942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551</Words>
  <Characters>2580</Characters>
  <Application>Microsoft Office Word</Application>
  <DocSecurity>0</DocSecurity>
  <Lines>95</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HP Inc.</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Glova</dc:creator>
  <cp:keywords/>
  <dc:description/>
  <cp:lastModifiedBy>Jozef Glova</cp:lastModifiedBy>
  <cp:revision>2</cp:revision>
  <dcterms:created xsi:type="dcterms:W3CDTF">2023-04-14T11:52:00Z</dcterms:created>
  <dcterms:modified xsi:type="dcterms:W3CDTF">2023-04-14T11:52:00Z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0x0101007991D128B54415408C8A561EDBEF6F59</vt:lpwstr>
  </property>
  <property fmtid="{D5CDD505-2E9C-101B-9397-08002B2CF9AE}" pid="3" name="GrammarlyDocumentId">
    <vt:lpwstr>1b0be31cfd9a243746f1ef1ec9f4dec5f5e54bbb968fb5167cecd477bac89d4e</vt:lpwstr>
  </property>
</Properties>
</file>